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E3750" w14:textId="14966D01" w:rsidR="00451728" w:rsidRPr="008F67BD" w:rsidRDefault="008F67BD">
      <w:pPr>
        <w:rPr>
          <w:rFonts w:ascii="Times New Roman" w:hAnsi="Times New Roman" w:cs="Times New Roman"/>
          <w:b/>
          <w:bCs/>
          <w:i/>
          <w:iCs/>
        </w:rPr>
      </w:pPr>
      <w:bookmarkStart w:id="0" w:name="_GoBack"/>
      <w:bookmarkEnd w:id="0"/>
      <w:r w:rsidRPr="008F67BD">
        <w:rPr>
          <w:rFonts w:ascii="Times New Roman" w:hAnsi="Times New Roman" w:cs="Times New Roman"/>
          <w:b/>
          <w:bCs/>
          <w:i/>
          <w:iCs/>
        </w:rPr>
        <w:t>Reactie op Vierde tussenproduct Rekenen &amp; Wiskunde</w:t>
      </w:r>
    </w:p>
    <w:p w14:paraId="46F68542" w14:textId="26F712E7" w:rsidR="008F67BD" w:rsidRPr="008F67BD" w:rsidRDefault="008F67BD" w:rsidP="008F67BD">
      <w:pPr>
        <w:rPr>
          <w:rFonts w:ascii="Times New Roman" w:hAnsi="Times New Roman" w:cs="Times New Roman"/>
          <w:i/>
          <w:iCs/>
          <w:color w:val="000000"/>
        </w:rPr>
      </w:pPr>
      <w:r w:rsidRPr="008F67BD">
        <w:rPr>
          <w:rFonts w:ascii="Times New Roman" w:hAnsi="Times New Roman" w:cs="Times New Roman"/>
          <w:i/>
          <w:iCs/>
          <w:color w:val="000000"/>
        </w:rPr>
        <w:t>Koeno Gravemeijer, voorzitter Werkgroep Wiskunde voor Morgen</w:t>
      </w:r>
    </w:p>
    <w:p w14:paraId="1F4C97E9" w14:textId="77777777" w:rsidR="00451728" w:rsidRPr="00200EBF" w:rsidRDefault="00451728">
      <w:pPr>
        <w:rPr>
          <w:rFonts w:ascii="Times New Roman" w:hAnsi="Times New Roman" w:cs="Times New Roman"/>
        </w:rPr>
      </w:pPr>
    </w:p>
    <w:p w14:paraId="586C80B0" w14:textId="77777777" w:rsidR="00451728" w:rsidRPr="00200EBF" w:rsidRDefault="00C15BEA">
      <w:pPr>
        <w:rPr>
          <w:rFonts w:ascii="Times New Roman" w:hAnsi="Times New Roman" w:cs="Times New Roman"/>
        </w:rPr>
      </w:pPr>
      <w:r w:rsidRPr="00200EBF">
        <w:rPr>
          <w:rFonts w:ascii="Times New Roman" w:hAnsi="Times New Roman" w:cs="Times New Roman"/>
        </w:rPr>
        <w:t>Het vierde tussenproduct is in feite nog niet af; er is maar één bouwsteen uitgewerkt. Ik vind het daarom moeilijk hier een reactie op te geven. Het lijkt toch vooral een opsomming van aanduiding</w:t>
      </w:r>
      <w:r w:rsidR="00200EBF" w:rsidRPr="00200EBF">
        <w:rPr>
          <w:rFonts w:ascii="Times New Roman" w:hAnsi="Times New Roman" w:cs="Times New Roman"/>
        </w:rPr>
        <w:t xml:space="preserve">en van leerstofonderdelen, die veelal </w:t>
      </w:r>
      <w:r w:rsidR="00832983">
        <w:rPr>
          <w:rFonts w:ascii="Times New Roman" w:hAnsi="Times New Roman" w:cs="Times New Roman"/>
        </w:rPr>
        <w:t>globaal</w:t>
      </w:r>
      <w:r w:rsidR="00200EBF" w:rsidRPr="00200EBF">
        <w:rPr>
          <w:rFonts w:ascii="Times New Roman" w:hAnsi="Times New Roman" w:cs="Times New Roman"/>
        </w:rPr>
        <w:t xml:space="preserve"> en niet nieuw zijn.</w:t>
      </w:r>
    </w:p>
    <w:p w14:paraId="5591CA5F" w14:textId="77777777" w:rsidR="00200EBF" w:rsidRPr="00200EBF" w:rsidRDefault="00200EBF">
      <w:pPr>
        <w:rPr>
          <w:rFonts w:ascii="Times New Roman" w:hAnsi="Times New Roman" w:cs="Times New Roman"/>
        </w:rPr>
      </w:pPr>
    </w:p>
    <w:p w14:paraId="550D8C5B" w14:textId="77777777" w:rsidR="00C15BEA" w:rsidRPr="00200EBF" w:rsidRDefault="00C15BEA">
      <w:pPr>
        <w:rPr>
          <w:rFonts w:ascii="Times New Roman" w:hAnsi="Times New Roman" w:cs="Times New Roman"/>
        </w:rPr>
      </w:pPr>
      <w:r w:rsidRPr="00200EBF">
        <w:rPr>
          <w:rFonts w:ascii="Times New Roman" w:hAnsi="Times New Roman" w:cs="Times New Roman"/>
        </w:rPr>
        <w:t xml:space="preserve">Vanuit de werkgroep Wiskunde voor Morgen </w:t>
      </w:r>
      <w:r w:rsidR="001C4B83" w:rsidRPr="00200EBF">
        <w:rPr>
          <w:rFonts w:ascii="Times New Roman" w:hAnsi="Times New Roman" w:cs="Times New Roman"/>
        </w:rPr>
        <w:t xml:space="preserve">kijk ik vooral naar de toekomstgerichtheid. Vanuit dit perspectief </w:t>
      </w:r>
      <w:r w:rsidRPr="00200EBF">
        <w:rPr>
          <w:rFonts w:ascii="Times New Roman" w:hAnsi="Times New Roman" w:cs="Times New Roman"/>
        </w:rPr>
        <w:t xml:space="preserve">gezien, valt nog weinig te ontdekken van een keuze voor een curriculum dat de leerlingen voorbereid op een toekomst in onze </w:t>
      </w:r>
      <w:proofErr w:type="spellStart"/>
      <w:r w:rsidRPr="00200EBF">
        <w:rPr>
          <w:rFonts w:ascii="Times New Roman" w:hAnsi="Times New Roman" w:cs="Times New Roman"/>
        </w:rPr>
        <w:t>hoog-technologische</w:t>
      </w:r>
      <w:proofErr w:type="spellEnd"/>
      <w:r w:rsidRPr="00200EBF">
        <w:rPr>
          <w:rFonts w:ascii="Times New Roman" w:hAnsi="Times New Roman" w:cs="Times New Roman"/>
        </w:rPr>
        <w:t>, gedigitaliseerde</w:t>
      </w:r>
      <w:r w:rsidR="00200EBF" w:rsidRPr="00200EBF">
        <w:rPr>
          <w:rFonts w:ascii="Times New Roman" w:hAnsi="Times New Roman" w:cs="Times New Roman"/>
        </w:rPr>
        <w:t>,</w:t>
      </w:r>
      <w:r w:rsidRPr="00200EBF">
        <w:rPr>
          <w:rFonts w:ascii="Times New Roman" w:hAnsi="Times New Roman" w:cs="Times New Roman"/>
        </w:rPr>
        <w:t xml:space="preserve"> maatschappij. </w:t>
      </w:r>
      <w:r w:rsidR="00451728" w:rsidRPr="00200EBF">
        <w:rPr>
          <w:rFonts w:ascii="Times New Roman" w:hAnsi="Times New Roman" w:cs="Times New Roman"/>
        </w:rPr>
        <w:t>Toekomst en technologische ontwikkelingen komen nauwelijks aan de orde. U</w:t>
      </w:r>
      <w:r w:rsidRPr="00200EBF">
        <w:rPr>
          <w:rFonts w:ascii="Times New Roman" w:hAnsi="Times New Roman" w:cs="Times New Roman"/>
        </w:rPr>
        <w:t xml:space="preserve">itzonderingen zijn: </w:t>
      </w:r>
    </w:p>
    <w:p w14:paraId="03CE63D7" w14:textId="77777777" w:rsidR="00C15BEA" w:rsidRPr="00200EBF" w:rsidRDefault="00865C3F" w:rsidP="00865C3F">
      <w:pPr>
        <w:pStyle w:val="Lijstalinea"/>
        <w:numPr>
          <w:ilvl w:val="0"/>
          <w:numId w:val="1"/>
        </w:numPr>
        <w:ind w:left="426"/>
        <w:rPr>
          <w:rFonts w:ascii="Times New Roman" w:hAnsi="Times New Roman" w:cs="Times New Roman"/>
        </w:rPr>
      </w:pPr>
      <w:r w:rsidRPr="00200EBF">
        <w:rPr>
          <w:rFonts w:ascii="Times New Roman" w:hAnsi="Times New Roman" w:cs="Times New Roman"/>
        </w:rPr>
        <w:t xml:space="preserve">Kwestie </w:t>
      </w:r>
      <w:r w:rsidR="00C15BEA" w:rsidRPr="00200EBF">
        <w:rPr>
          <w:rFonts w:ascii="Times New Roman" w:hAnsi="Times New Roman" w:cs="Times New Roman"/>
        </w:rPr>
        <w:t>4, over geld in de context van de digitale maatschappij</w:t>
      </w:r>
      <w:r w:rsidRPr="00200EBF">
        <w:rPr>
          <w:rFonts w:ascii="Times New Roman" w:hAnsi="Times New Roman" w:cs="Times New Roman"/>
        </w:rPr>
        <w:t>.</w:t>
      </w:r>
    </w:p>
    <w:p w14:paraId="1FD8EE59" w14:textId="77777777" w:rsidR="00C15BEA" w:rsidRPr="00200EBF" w:rsidRDefault="00865C3F" w:rsidP="00865C3F">
      <w:pPr>
        <w:pStyle w:val="Lijstalinea"/>
        <w:numPr>
          <w:ilvl w:val="0"/>
          <w:numId w:val="1"/>
        </w:numPr>
        <w:ind w:left="426"/>
        <w:rPr>
          <w:rFonts w:ascii="Times New Roman" w:hAnsi="Times New Roman" w:cs="Times New Roman"/>
        </w:rPr>
      </w:pPr>
      <w:r w:rsidRPr="00200EBF">
        <w:rPr>
          <w:rFonts w:ascii="Times New Roman" w:hAnsi="Times New Roman" w:cs="Times New Roman"/>
        </w:rPr>
        <w:t>Kwestie 6, met h</w:t>
      </w:r>
      <w:r w:rsidR="00C15BEA" w:rsidRPr="00200EBF">
        <w:rPr>
          <w:rFonts w:ascii="Times New Roman" w:hAnsi="Times New Roman" w:cs="Times New Roman"/>
        </w:rPr>
        <w:t>et voorstel niet-lineaire vergelijkingen alleen nog met behulp van ICT te laten oplossen</w:t>
      </w:r>
      <w:r w:rsidRPr="00200EBF">
        <w:rPr>
          <w:rFonts w:ascii="Times New Roman" w:hAnsi="Times New Roman" w:cs="Times New Roman"/>
        </w:rPr>
        <w:t>.</w:t>
      </w:r>
    </w:p>
    <w:p w14:paraId="603C8B7F" w14:textId="77777777" w:rsidR="00C15BEA" w:rsidRPr="00200EBF" w:rsidRDefault="00865C3F" w:rsidP="00865C3F">
      <w:pPr>
        <w:pStyle w:val="Lijstalinea"/>
        <w:numPr>
          <w:ilvl w:val="0"/>
          <w:numId w:val="1"/>
        </w:numPr>
        <w:ind w:left="426"/>
        <w:rPr>
          <w:rFonts w:ascii="Times New Roman" w:hAnsi="Times New Roman" w:cs="Times New Roman"/>
        </w:rPr>
      </w:pPr>
      <w:r w:rsidRPr="00200EBF">
        <w:rPr>
          <w:rFonts w:ascii="Times New Roman" w:hAnsi="Times New Roman" w:cs="Times New Roman"/>
        </w:rPr>
        <w:t>En de</w:t>
      </w:r>
      <w:r w:rsidR="00C15BEA" w:rsidRPr="00200EBF">
        <w:rPr>
          <w:rFonts w:ascii="Times New Roman" w:hAnsi="Times New Roman" w:cs="Times New Roman"/>
        </w:rPr>
        <w:t xml:space="preserve"> prominente plaats </w:t>
      </w:r>
      <w:r w:rsidRPr="00200EBF">
        <w:rPr>
          <w:rFonts w:ascii="Times New Roman" w:hAnsi="Times New Roman" w:cs="Times New Roman"/>
        </w:rPr>
        <w:t xml:space="preserve">die wordt gegeven aan </w:t>
      </w:r>
      <w:r w:rsidR="00C15BEA" w:rsidRPr="00200EBF">
        <w:rPr>
          <w:rFonts w:ascii="Times New Roman" w:hAnsi="Times New Roman" w:cs="Times New Roman"/>
        </w:rPr>
        <w:t>informatie, statistiek en kansrekening</w:t>
      </w:r>
      <w:r w:rsidRPr="00200EBF">
        <w:rPr>
          <w:rFonts w:ascii="Times New Roman" w:hAnsi="Times New Roman" w:cs="Times New Roman"/>
        </w:rPr>
        <w:t>.</w:t>
      </w:r>
    </w:p>
    <w:p w14:paraId="0DC065B3" w14:textId="77777777" w:rsidR="00865C3F" w:rsidRPr="00200EBF" w:rsidRDefault="00865C3F" w:rsidP="00865C3F">
      <w:pPr>
        <w:ind w:left="66"/>
        <w:rPr>
          <w:rFonts w:ascii="Times New Roman" w:hAnsi="Times New Roman" w:cs="Times New Roman"/>
        </w:rPr>
      </w:pPr>
      <w:r w:rsidRPr="00200EBF">
        <w:rPr>
          <w:rFonts w:ascii="Times New Roman" w:hAnsi="Times New Roman" w:cs="Times New Roman"/>
        </w:rPr>
        <w:t>Het laatste punt is zeker relevant voor de toekomst van de leerlin</w:t>
      </w:r>
      <w:r w:rsidR="001C4B83" w:rsidRPr="00200EBF">
        <w:rPr>
          <w:rFonts w:ascii="Times New Roman" w:hAnsi="Times New Roman" w:cs="Times New Roman"/>
        </w:rPr>
        <w:t>gen. Bij de andere punten is dat</w:t>
      </w:r>
      <w:r w:rsidRPr="00200EBF">
        <w:rPr>
          <w:rFonts w:ascii="Times New Roman" w:hAnsi="Times New Roman" w:cs="Times New Roman"/>
        </w:rPr>
        <w:t xml:space="preserve"> nog maar de vraag. Bij geld als maat, gaat het om geld als maatstaf voor het maken van allerhande vergelijkingen en beoordelingen. Mij lijkt dat dit niet verandert als het geld digitaal wordt. Ook niet-lineaire v</w:t>
      </w:r>
      <w:r w:rsidR="001C4B83" w:rsidRPr="00200EBF">
        <w:rPr>
          <w:rFonts w:ascii="Times New Roman" w:hAnsi="Times New Roman" w:cs="Times New Roman"/>
        </w:rPr>
        <w:t>ergelijkingen alleen nog maar me</w:t>
      </w:r>
      <w:r w:rsidRPr="00200EBF">
        <w:rPr>
          <w:rFonts w:ascii="Times New Roman" w:hAnsi="Times New Roman" w:cs="Times New Roman"/>
        </w:rPr>
        <w:t xml:space="preserve">t ICT oplossen lijkt me niet vanzelfsprekend. </w:t>
      </w:r>
      <w:r w:rsidR="001C4B83" w:rsidRPr="00200EBF">
        <w:rPr>
          <w:rFonts w:ascii="Times New Roman" w:hAnsi="Times New Roman" w:cs="Times New Roman"/>
        </w:rPr>
        <w:t>Met het oog op toekomstig gebruik van apparaten,</w:t>
      </w:r>
      <w:r w:rsidRPr="00200EBF">
        <w:rPr>
          <w:rFonts w:ascii="Times New Roman" w:hAnsi="Times New Roman" w:cs="Times New Roman"/>
        </w:rPr>
        <w:t xml:space="preserve"> lijkt </w:t>
      </w:r>
      <w:r w:rsidR="001C4B83" w:rsidRPr="00200EBF">
        <w:rPr>
          <w:rFonts w:ascii="Times New Roman" w:hAnsi="Times New Roman" w:cs="Times New Roman"/>
        </w:rPr>
        <w:t xml:space="preserve">het </w:t>
      </w:r>
      <w:r w:rsidRPr="00200EBF">
        <w:rPr>
          <w:rFonts w:ascii="Times New Roman" w:hAnsi="Times New Roman" w:cs="Times New Roman"/>
        </w:rPr>
        <w:t xml:space="preserve">mij </w:t>
      </w:r>
      <w:r w:rsidR="00B413FC" w:rsidRPr="00200EBF">
        <w:rPr>
          <w:rFonts w:ascii="Times New Roman" w:hAnsi="Times New Roman" w:cs="Times New Roman"/>
        </w:rPr>
        <w:t xml:space="preserve">primair </w:t>
      </w:r>
      <w:r w:rsidR="001C4B83" w:rsidRPr="00200EBF">
        <w:rPr>
          <w:rFonts w:ascii="Times New Roman" w:hAnsi="Times New Roman" w:cs="Times New Roman"/>
        </w:rPr>
        <w:t>van belang dat de leerlingen</w:t>
      </w:r>
      <w:r w:rsidRPr="00200EBF">
        <w:rPr>
          <w:rFonts w:ascii="Times New Roman" w:hAnsi="Times New Roman" w:cs="Times New Roman"/>
        </w:rPr>
        <w:t xml:space="preserve"> de wiskunde achter het oplossen van lineaire vergelijking</w:t>
      </w:r>
      <w:r w:rsidR="001C4B83" w:rsidRPr="00200EBF">
        <w:rPr>
          <w:rFonts w:ascii="Times New Roman" w:hAnsi="Times New Roman" w:cs="Times New Roman"/>
        </w:rPr>
        <w:t>en begrij</w:t>
      </w:r>
      <w:r w:rsidRPr="00200EBF">
        <w:rPr>
          <w:rFonts w:ascii="Times New Roman" w:hAnsi="Times New Roman" w:cs="Times New Roman"/>
        </w:rPr>
        <w:t>pen.</w:t>
      </w:r>
    </w:p>
    <w:p w14:paraId="290A4059" w14:textId="77777777" w:rsidR="00865C3F" w:rsidRPr="00200EBF" w:rsidRDefault="00865C3F" w:rsidP="00865C3F">
      <w:pPr>
        <w:ind w:left="66"/>
        <w:rPr>
          <w:rFonts w:ascii="Times New Roman" w:hAnsi="Times New Roman" w:cs="Times New Roman"/>
        </w:rPr>
      </w:pPr>
    </w:p>
    <w:p w14:paraId="09535247" w14:textId="77777777" w:rsidR="00B413FC" w:rsidRPr="00200EBF" w:rsidRDefault="00B413FC" w:rsidP="00B413FC">
      <w:pPr>
        <w:rPr>
          <w:rFonts w:ascii="Times New Roman" w:eastAsia="Times New Roman" w:hAnsi="Times New Roman" w:cs="Times New Roman"/>
        </w:rPr>
      </w:pPr>
      <w:r w:rsidRPr="00200EBF">
        <w:rPr>
          <w:rFonts w:ascii="Times New Roman" w:hAnsi="Times New Roman" w:cs="Times New Roman"/>
        </w:rPr>
        <w:t xml:space="preserve">Graag wil ik ook enkele niet direct aan de toekomst gerelateerde opmerkingen maken. De voorbeelduitwerking van bouwsteen 11, informatie en statistiek, heeft heel erg het karakter van een </w:t>
      </w:r>
      <w:r w:rsidRPr="00200EBF">
        <w:rPr>
          <w:rFonts w:ascii="Times New Roman" w:eastAsia="Times New Roman" w:hAnsi="Times New Roman" w:cs="Times New Roman"/>
        </w:rPr>
        <w:t xml:space="preserve">van een opsomming van operationele doelen. Een afvinklijstje. Terwijl we </w:t>
      </w:r>
      <w:r w:rsidR="00451728" w:rsidRPr="00200EBF">
        <w:rPr>
          <w:rFonts w:ascii="Times New Roman" w:eastAsia="Times New Roman" w:hAnsi="Times New Roman" w:cs="Times New Roman"/>
        </w:rPr>
        <w:t xml:space="preserve">in deze fase van curriculumherziening </w:t>
      </w:r>
      <w:r w:rsidRPr="00200EBF">
        <w:rPr>
          <w:rFonts w:ascii="Times New Roman" w:eastAsia="Times New Roman" w:hAnsi="Times New Roman" w:cs="Times New Roman"/>
        </w:rPr>
        <w:t xml:space="preserve">nog niet aan operationele doelen toe zijn. Het gaat nu om het formuleren  bouwstenen die de basis gaan vormen voor verdere besluitvorming, pas later zouden die moeten worden uitgewerkt in </w:t>
      </w:r>
      <w:r w:rsidR="00451728" w:rsidRPr="00200EBF">
        <w:rPr>
          <w:rFonts w:ascii="Times New Roman" w:eastAsia="Times New Roman" w:hAnsi="Times New Roman" w:cs="Times New Roman"/>
        </w:rPr>
        <w:t>al-dan-niet-operationele doelen</w:t>
      </w:r>
      <w:r w:rsidRPr="00200EBF">
        <w:rPr>
          <w:rFonts w:ascii="Times New Roman" w:eastAsia="Times New Roman" w:hAnsi="Times New Roman" w:cs="Times New Roman"/>
        </w:rPr>
        <w:t>. Ik wil er daarom op aandringen ruimere doelformuleringen te gebruiken, waarin de achterliggende bedoeling beter tot uitdrukking komt.</w:t>
      </w:r>
    </w:p>
    <w:p w14:paraId="5C882D41" w14:textId="77777777" w:rsidR="00200EBF" w:rsidRPr="00200EBF" w:rsidRDefault="00200EBF" w:rsidP="00B413FC">
      <w:pPr>
        <w:rPr>
          <w:rFonts w:ascii="Times New Roman" w:eastAsia="Times New Roman" w:hAnsi="Times New Roman" w:cs="Times New Roman"/>
        </w:rPr>
      </w:pPr>
    </w:p>
    <w:p w14:paraId="6F3D110B" w14:textId="77777777" w:rsidR="00B413FC" w:rsidRPr="00200EBF" w:rsidRDefault="00B413FC" w:rsidP="00B413FC">
      <w:pPr>
        <w:rPr>
          <w:rFonts w:ascii="Times New Roman" w:hAnsi="Times New Roman" w:cs="Times New Roman"/>
          <w:color w:val="000000"/>
        </w:rPr>
      </w:pPr>
      <w:r w:rsidRPr="00200EBF">
        <w:rPr>
          <w:rFonts w:ascii="Times New Roman" w:hAnsi="Times New Roman" w:cs="Times New Roman"/>
        </w:rPr>
        <w:t xml:space="preserve">Een laatste punt betreft de </w:t>
      </w:r>
      <w:r w:rsidR="00E42185">
        <w:rPr>
          <w:rFonts w:ascii="Times New Roman" w:hAnsi="Times New Roman" w:cs="Times New Roman"/>
        </w:rPr>
        <w:t>breuken. In de formulering van “K</w:t>
      </w:r>
      <w:r w:rsidRPr="00200EBF">
        <w:rPr>
          <w:rFonts w:ascii="Times New Roman" w:hAnsi="Times New Roman" w:cs="Times New Roman"/>
        </w:rPr>
        <w:t>westie 2</w:t>
      </w:r>
      <w:r w:rsidR="00E42185">
        <w:rPr>
          <w:rFonts w:ascii="Times New Roman" w:hAnsi="Times New Roman" w:cs="Times New Roman"/>
        </w:rPr>
        <w:t>”</w:t>
      </w:r>
      <w:r w:rsidRPr="00200EBF">
        <w:rPr>
          <w:rFonts w:ascii="Times New Roman" w:hAnsi="Times New Roman" w:cs="Times New Roman"/>
        </w:rPr>
        <w:t xml:space="preserve"> </w:t>
      </w:r>
      <w:r w:rsidRPr="00200EBF">
        <w:rPr>
          <w:rFonts w:ascii="Times New Roman" w:hAnsi="Times New Roman" w:cs="Times New Roman"/>
          <w:color w:val="000000"/>
        </w:rPr>
        <w:t xml:space="preserve">is niet duidelijk hoe het verschil tussen “begripsvorming”, “rekentaal” en “formeel rekenen” precies geïnterpreteerd moet worden. In zijn huidige vorm biedt deze verdeling over PO en VO mijns inziens geen bijdrage aan het realiseren van een doorgaande leerlijn. </w:t>
      </w:r>
    </w:p>
    <w:p w14:paraId="14C3CB8F" w14:textId="77777777" w:rsidR="00B413FC" w:rsidRPr="00200EBF" w:rsidRDefault="00B413FC" w:rsidP="00B413FC">
      <w:pPr>
        <w:widowControl w:val="0"/>
        <w:autoSpaceDE w:val="0"/>
        <w:autoSpaceDN w:val="0"/>
        <w:adjustRightInd w:val="0"/>
        <w:rPr>
          <w:rFonts w:ascii="Times New Roman" w:hAnsi="Times New Roman" w:cs="Times New Roman"/>
          <w:color w:val="000000"/>
        </w:rPr>
      </w:pPr>
    </w:p>
    <w:p w14:paraId="3664EA77" w14:textId="77777777" w:rsidR="00865C3F" w:rsidRPr="00200EBF" w:rsidRDefault="00B413FC" w:rsidP="00B413FC">
      <w:pPr>
        <w:rPr>
          <w:rFonts w:ascii="Times New Roman" w:hAnsi="Times New Roman" w:cs="Times New Roman"/>
          <w:color w:val="000000"/>
        </w:rPr>
      </w:pPr>
      <w:r w:rsidRPr="00200EBF">
        <w:rPr>
          <w:rFonts w:ascii="Times New Roman" w:hAnsi="Times New Roman" w:cs="Times New Roman"/>
          <w:color w:val="000000"/>
        </w:rPr>
        <w:t xml:space="preserve">Een doorgaande leerlijn breuken moet de leerlingen ondersteunen bij het maken van de overgang van breuken als </w:t>
      </w:r>
      <w:r w:rsidRPr="00200EBF">
        <w:rPr>
          <w:rFonts w:ascii="Times New Roman" w:hAnsi="Times New Roman" w:cs="Times New Roman"/>
          <w:i/>
          <w:iCs/>
          <w:color w:val="000000"/>
        </w:rPr>
        <w:t>benoemde getallen</w:t>
      </w:r>
      <w:r w:rsidRPr="00200EBF">
        <w:rPr>
          <w:rFonts w:ascii="Times New Roman" w:hAnsi="Times New Roman" w:cs="Times New Roman"/>
          <w:color w:val="000000"/>
        </w:rPr>
        <w:t xml:space="preserve"> (“¾ pizza”) naar breuken als </w:t>
      </w:r>
      <w:r w:rsidRPr="00200EBF">
        <w:rPr>
          <w:rFonts w:ascii="Times New Roman" w:hAnsi="Times New Roman" w:cs="Times New Roman"/>
          <w:i/>
          <w:iCs/>
          <w:color w:val="000000"/>
        </w:rPr>
        <w:t>onbenoemde getallen</w:t>
      </w:r>
      <w:r w:rsidRPr="00200EBF">
        <w:rPr>
          <w:rFonts w:ascii="Times New Roman" w:hAnsi="Times New Roman" w:cs="Times New Roman"/>
          <w:color w:val="000000"/>
        </w:rPr>
        <w:t xml:space="preserve"> (“¾” ). Bij de regel, “teller keer teller, noemer keer noemer”, voor het vermenigvuldigen van breuken bijvoorbeeld, gaat het om onbenoemde getallen. Van benoemd naar onbenoemd vraagt meer dan alleen het achtervoegsel weg te laten. De getallen moeten het karakter krijgen van objecten die hun betekenis ontlenen aan wiskundige/rekenkundige relaties. Daarbij kunnen we denken aan </w:t>
      </w:r>
      <w:proofErr w:type="spellStart"/>
      <w:r w:rsidRPr="00200EBF">
        <w:rPr>
          <w:rFonts w:ascii="Times New Roman" w:hAnsi="Times New Roman" w:cs="Times New Roman"/>
          <w:color w:val="000000"/>
        </w:rPr>
        <w:t>getalrelaties</w:t>
      </w:r>
      <w:proofErr w:type="spellEnd"/>
      <w:r w:rsidRPr="00200EBF">
        <w:rPr>
          <w:rFonts w:ascii="Times New Roman" w:hAnsi="Times New Roman" w:cs="Times New Roman"/>
          <w:color w:val="000000"/>
        </w:rPr>
        <w:t>, rekeneigenschappen en operaties.</w:t>
      </w:r>
    </w:p>
    <w:p w14:paraId="5883B5F0" w14:textId="77777777" w:rsidR="00451728" w:rsidRPr="00200EBF" w:rsidRDefault="00451728" w:rsidP="00B413FC">
      <w:pPr>
        <w:rPr>
          <w:rFonts w:ascii="Times New Roman" w:hAnsi="Times New Roman" w:cs="Times New Roman"/>
          <w:color w:val="000000"/>
        </w:rPr>
      </w:pPr>
    </w:p>
    <w:sectPr w:rsidR="00451728" w:rsidRPr="00200EBF" w:rsidSect="00EE13F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224B01"/>
    <w:multiLevelType w:val="hybridMultilevel"/>
    <w:tmpl w:val="63D0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BEA"/>
    <w:rsid w:val="001C4B83"/>
    <w:rsid w:val="00200EBF"/>
    <w:rsid w:val="00451728"/>
    <w:rsid w:val="00832983"/>
    <w:rsid w:val="00865C3F"/>
    <w:rsid w:val="008F4AD3"/>
    <w:rsid w:val="008F67BD"/>
    <w:rsid w:val="00B413FC"/>
    <w:rsid w:val="00C15BEA"/>
    <w:rsid w:val="00C95370"/>
    <w:rsid w:val="00E42185"/>
    <w:rsid w:val="00EE13F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2CCB60"/>
  <w14:defaultImageDpi w14:val="300"/>
  <w15:docId w15:val="{453B5D8D-FF92-2549-AA11-0B61F4B6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5C3F"/>
    <w:pPr>
      <w:ind w:left="720"/>
      <w:contextualSpacing/>
    </w:pPr>
  </w:style>
  <w:style w:type="paragraph" w:customStyle="1" w:styleId="Default">
    <w:name w:val="Default"/>
    <w:rsid w:val="00B413FC"/>
    <w:pPr>
      <w:widowControl w:val="0"/>
      <w:autoSpaceDE w:val="0"/>
      <w:autoSpaceDN w:val="0"/>
      <w:adjustRightInd w:val="0"/>
    </w:pPr>
    <w:rPr>
      <w:rFonts w:ascii="Verdana" w:hAnsi="Verdana" w:cs="Verdana"/>
      <w:color w:val="000000"/>
      <w:lang w:val="en-US"/>
    </w:rPr>
  </w:style>
  <w:style w:type="paragraph" w:styleId="Ballontekst">
    <w:name w:val="Balloon Text"/>
    <w:basedOn w:val="Standaard"/>
    <w:link w:val="BallontekstChar"/>
    <w:uiPriority w:val="99"/>
    <w:semiHidden/>
    <w:unhideWhenUsed/>
    <w:rsid w:val="008F67BD"/>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8F67B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2679</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Koeno Gravemeijer</dc:creator>
  <cp:keywords/>
  <dc:description/>
  <cp:lastModifiedBy>Koeno Gravemeijer</cp:lastModifiedBy>
  <cp:revision>2</cp:revision>
  <cp:lastPrinted>2019-09-17T15:55:00Z</cp:lastPrinted>
  <dcterms:created xsi:type="dcterms:W3CDTF">2019-09-17T16:49:00Z</dcterms:created>
  <dcterms:modified xsi:type="dcterms:W3CDTF">2019-09-17T16:49:00Z</dcterms:modified>
</cp:coreProperties>
</file>